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media/image1.png" ContentType="image/pn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</w:t>
      </w:r>
      <w:r>
        <w:rPr>
          <w:rFonts w:ascii="Times New Roman" w:hAnsi="Times New Roman"/>
        </w:rPr>
        <w:t xml:space="preserve">2 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fldChar w:fldCharType="begin"/>
      </w:r>
      <w:r>
        <w:rPr>
          <w:vanish/>
        </w:rPr>
      </w:r>
      <w:hyperlink w:anchor="_Toc54646414">
        <w:r>
          <w:rPr>
            <w:webHidden/>
          </w:rPr>
          <w:fldChar w:fldCharType="begin"/>
        </w:r>
        <w:r>
          <w:rPr>
            <w:webHidden/>
          </w:rPr>
          <w:instrText xml:space="preserve">PAGEREF _Toc54646414 \h</w:instrText>
        </w:r>
        <w:r>
          <w:rPr>
            <w:webHidden/>
          </w:rPr>
          <w:fldChar w:fldCharType="separate"/>
        </w:r>
        <w:r>
          <w:rPr>
            <w:vanish/>
          </w:rPr>
        </w:r>
        <w:r>
          <w:rPr>
            <w:webHidden/>
          </w:rPr>
          <w:fldChar w:fldCharType="end"/>
        </w:r>
      </w:hyperlink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rPr>
          <w:vanish/>
        </w:rPr>
        <w:fldChar w:fldCharType="separate"/>
      </w:r>
      <w:r>
        <w:rPr>
          <w:vanish/>
        </w:rPr>
      </w:r>
      <w:r>
        <w:rPr>
          <w:vanish/>
        </w:rPr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  <w:r>
        <w:rPr>
          <w:vanish/>
        </w:rPr>
        <w:fldChar w:fldCharType="begin"/>
      </w:r>
      <w:r>
        <w:rPr>
          <w:vanish/>
        </w:rPr>
        <w:instrText xml:space="preserve"> PAGEREF _Toc54646414 \h </w:instrText>
      </w:r>
      <w:r>
        <w:rPr>
          <w:vanish/>
        </w:rPr>
        <w:fldChar w:fldCharType="separate"/>
      </w:r>
      <w:r>
        <w:rPr>
          <w:vanish/>
        </w:rPr>
        <w:t>Ошибка: источник перекрёстной ссылки не найден</w:t>
      </w:r>
      <w:r>
        <w:rPr>
          <w:vanish/>
        </w:rPr>
        <w:fldChar w:fldCharType="end"/>
      </w:r>
    </w:p>
    <w:p>
      <w:pPr>
        <w:pStyle w:val="Normal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>Содержание: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1260" w:leader="none"/>
        </w:tabs>
        <w:ind w:left="540" w:hanging="398"/>
        <w:rPr>
          <w:rFonts w:ascii="Times New Roman" w:hAnsi="Times New Roman" w:cs="Times New Roman"/>
          <w:i/>
          <w:i/>
          <w:sz w:val="22"/>
          <w:szCs w:val="22"/>
          <w:u w:val="single"/>
        </w:rPr>
      </w:pPr>
      <w:r>
        <w:rPr>
          <w:rFonts w:ascii="Times New Roman" w:hAnsi="Times New Roman"/>
          <w:i/>
          <w:iCs/>
        </w:rPr>
        <w:t>Приложение № 1</w:t>
      </w:r>
      <w:r>
        <w:rPr>
          <w:rFonts w:cs="Times New Roman" w:ascii="Times New Roman" w:hAnsi="Times New Roman"/>
          <w:sz w:val="22"/>
          <w:szCs w:val="22"/>
        </w:rPr>
        <w:t xml:space="preserve">   </w:t>
      </w:r>
      <w:r>
        <w:rPr>
          <w:rFonts w:cs="Times New Roman" w:ascii="Times New Roman" w:hAnsi="Times New Roman"/>
          <w:i/>
          <w:sz w:val="22"/>
          <w:szCs w:val="22"/>
        </w:rPr>
        <w:t xml:space="preserve">Требования к оформлению и составлению сметной документации на работы по </w:t>
      </w:r>
      <w:r>
        <w:rPr>
          <w:rFonts w:cs="Times New Roman" w:ascii="Times New Roman" w:hAnsi="Times New Roman"/>
          <w:i/>
          <w:sz w:val="22"/>
          <w:szCs w:val="22"/>
          <w:u w:val="single"/>
        </w:rPr>
        <w:t>строительству……………………………………………………………….</w:t>
      </w:r>
      <w:r>
        <w:rPr>
          <w:rFonts w:cs="Times New Roman" w:ascii="Times New Roman" w:hAnsi="Times New Roman"/>
          <w:i/>
          <w:sz w:val="22"/>
          <w:szCs w:val="22"/>
        </w:rPr>
        <w:t xml:space="preserve"> ……………………………… стр.1</w:t>
      </w:r>
    </w:p>
    <w:p>
      <w:pPr>
        <w:pStyle w:val="ListParagraph"/>
        <w:numPr>
          <w:ilvl w:val="0"/>
          <w:numId w:val="5"/>
        </w:numPr>
        <w:spacing w:lineRule="auto" w:line="240" w:before="0" w:after="0"/>
        <w:contextualSpacing/>
        <w:rPr>
          <w:rStyle w:val="Style15"/>
          <w:rFonts w:ascii="Times New Roman" w:hAnsi="Times New Roman"/>
          <w:i w:val="false"/>
          <w:i w:val="false"/>
          <w:iCs/>
        </w:rPr>
      </w:pPr>
      <w:r>
        <w:rPr>
          <w:rFonts w:ascii="Times New Roman" w:hAnsi="Times New Roman"/>
          <w:i/>
        </w:rPr>
        <w:t>Приложение № 2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</w:rPr>
        <w:t>Требования к оформлению и составлению сметной документации на выполнение проектных и изыскательских работ ……………………………………………………………...........стр.18</w:t>
      </w:r>
    </w:p>
    <w:p>
      <w:pPr>
        <w:pStyle w:val="Normal"/>
        <w:spacing w:lineRule="auto" w:line="240"/>
        <w:rPr>
          <w:rFonts w:ascii="Times New Roman" w:hAnsi="Times New Roman"/>
          <w:i/>
          <w:i/>
        </w:rPr>
      </w:pPr>
      <w:r>
        <w:rPr>
          <w:rFonts w:ascii="Times New Roman" w:hAnsi="Times New Roman"/>
          <w:i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</w:t>
      </w:r>
    </w:p>
    <w:p>
      <w:pPr>
        <w:pStyle w:val="ConsPlusNormal1"/>
        <w:widowControl/>
        <w:tabs>
          <w:tab w:val="clear" w:pos="709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i/>
          <w:i/>
          <w:sz w:val="22"/>
          <w:szCs w:val="22"/>
        </w:rPr>
      </w:pPr>
      <w:r>
        <w:rPr>
          <w:rFonts w:ascii="Times New Roman" w:hAnsi="Times New Roman"/>
          <w:b/>
          <w:i/>
          <w:iCs/>
        </w:rPr>
        <w:t>Приложение № 1</w:t>
      </w:r>
      <w:r>
        <w:rPr>
          <w:rFonts w:cs="Times New Roman" w:ascii="Times New Roman" w:hAnsi="Times New Roman"/>
          <w:b/>
          <w:sz w:val="22"/>
          <w:szCs w:val="22"/>
        </w:rPr>
        <w:t xml:space="preserve">   </w:t>
      </w:r>
      <w:r>
        <w:rPr>
          <w:rFonts w:cs="Times New Roman" w:ascii="Times New Roman" w:hAnsi="Times New Roman"/>
          <w:b/>
          <w:i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i/>
          <w:i/>
          <w:color w:val="FF0000"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i/>
          <w:sz w:val="22"/>
          <w:szCs w:val="22"/>
        </w:rPr>
        <w:t xml:space="preserve">сметной документации на </w:t>
      </w:r>
      <w:r>
        <w:rPr>
          <w:rFonts w:cs="Times New Roman" w:ascii="Times New Roman" w:hAnsi="Times New Roman"/>
          <w:b/>
          <w:i/>
          <w:sz w:val="22"/>
          <w:szCs w:val="22"/>
          <w:u w:val="single"/>
        </w:rPr>
        <w:t xml:space="preserve">работы по </w:t>
      </w:r>
      <w:r>
        <w:rPr>
          <w:rFonts w:cs="Times New Roman" w:ascii="Times New Roman" w:hAnsi="Times New Roman"/>
          <w:b/>
          <w:bCs/>
          <w:i/>
          <w:sz w:val="22"/>
          <w:szCs w:val="22"/>
          <w:u w:val="single"/>
        </w:rPr>
        <w:t>строительству</w:t>
      </w:r>
      <w:r>
        <w:rPr>
          <w:rFonts w:cs="Times New Roman" w:ascii="Times New Roman" w:hAnsi="Times New Roman"/>
          <w:b/>
          <w:i/>
          <w:color w:val="FF0000"/>
          <w:sz w:val="22"/>
          <w:szCs w:val="22"/>
        </w:rPr>
        <w:t xml:space="preserve"> </w:t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i/>
          <w:iCs/>
        </w:rPr>
        <w:t xml:space="preserve"> 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строительству новых электросетевых объектов.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2025.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составлении сметной документации необходимо использовать сметно-нормативную базу на основе действующих единичных расценок с применением ФСНБ-2022, внесенной в Федеральный реестр сметных нормативов. </w:t>
      </w:r>
    </w:p>
    <w:p>
      <w:pPr>
        <w:pStyle w:val="ConsPlusNormal1"/>
        <w:widowControl/>
        <w:numPr>
          <w:ilvl w:val="0"/>
          <w:numId w:val="3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Определение сметной стоимости работ при новом строительстве определить ресурсно-индексным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ресурсно-индексного метода, приводится в ЛСР (ЛС) в текущем уровне цен.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7.  При определении сметной стоимости ресурсно-индексным методам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ФРСН: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индексы к отдельным строительным ресурсам, индексы к группам строительных ресурсов 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индексы изменения сметных цен на перевозку грузов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индексы изменения сметной стоимости оборудования – применяются к сметной стоимости оборудования;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индексы изменения сметной стоимости, рассчитываемые для применения к сметной стоимости отдельных видов прочих работ и затрат.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8. 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9. </w:t>
      </w:r>
      <w:bookmarkStart w:id="0" w:name="_Hlk86254526_Копия_1"/>
      <w:r>
        <w:rPr>
          <w:rFonts w:cs="Times New Roman" w:ascii="Times New Roman" w:hAnsi="Times New Roman"/>
          <w:sz w:val="22"/>
          <w:szCs w:val="22"/>
        </w:rPr>
        <w:t xml:space="preserve">При </w:t>
      </w:r>
      <w:r>
        <w:rPr>
          <w:rFonts w:cs="Times New Roman" w:ascii="Times New Roman" w:hAnsi="Times New Roman"/>
          <w:i/>
          <w:sz w:val="22"/>
          <w:szCs w:val="22"/>
        </w:rPr>
        <w:t xml:space="preserve">отсутствии </w:t>
      </w:r>
      <w:r>
        <w:rPr>
          <w:rFonts w:cs="Times New Roman" w:ascii="Times New Roman" w:hAnsi="Times New Roman"/>
          <w:sz w:val="22"/>
          <w:szCs w:val="22"/>
        </w:rPr>
        <w:t xml:space="preserve">информации о сметных ценах в ФГИС ЦС  по материальным ресурсам и оборудованию, их сметная цена формируется </w:t>
      </w:r>
      <w:bookmarkStart w:id="1" w:name="_Hlk86254576"/>
      <w:r>
        <w:rPr>
          <w:rFonts w:cs="Times New Roman" w:ascii="Times New Roman" w:hAnsi="Times New Roman"/>
          <w:sz w:val="22"/>
          <w:szCs w:val="22"/>
        </w:rPr>
        <w:t xml:space="preserve">Методом анализа ТКП </w:t>
      </w:r>
      <w:bookmarkEnd w:id="1"/>
      <w:r>
        <w:rPr>
          <w:rFonts w:cs="Times New Roman" w:ascii="Times New Roman" w:hAnsi="Times New Roman"/>
          <w:sz w:val="22"/>
          <w:szCs w:val="22"/>
        </w:rPr>
        <w:t>в соответствии с Методикой формирования плановой цены на закупаемую продукцию для организаций Группы РусГидро (далее – Методика ПЦ)</w:t>
      </w:r>
      <w:bookmarkEnd w:id="0"/>
      <w:r>
        <w:rPr>
          <w:rFonts w:cs="Times New Roman" w:ascii="Times New Roman" w:hAnsi="Times New Roman"/>
          <w:sz w:val="22"/>
          <w:szCs w:val="22"/>
        </w:rPr>
        <w:t>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10. 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>
      <w:pPr>
        <w:pStyle w:val="ConsPlusNormal1"/>
        <w:widowControl/>
        <w:tabs>
          <w:tab w:val="clear" w:pos="709"/>
          <w:tab w:val="left" w:pos="284" w:leader="none"/>
          <w:tab w:val="left" w:pos="1134" w:leader="none"/>
        </w:tabs>
        <w:spacing w:before="40" w:after="40"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            </w:t>
      </w:r>
      <w:r>
        <w:rPr>
          <w:rFonts w:cs="Times New Roman" w:ascii="Times New Roman" w:hAnsi="Times New Roman"/>
          <w:sz w:val="22"/>
          <w:szCs w:val="22"/>
        </w:rPr>
        <w:t>11. Транспортные затраты определяются следующими методами:</w:t>
      </w:r>
    </w:p>
    <w:p>
      <w:pPr>
        <w:pStyle w:val="ConsPlusNormal1"/>
        <w:widowControl/>
        <w:tabs>
          <w:tab w:val="clear" w:pos="709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11.1. </w:t>
      </w:r>
      <w:r>
        <w:rPr>
          <w:rFonts w:cs="Times New Roman" w:ascii="Times New Roman" w:hAnsi="Times New Roman"/>
          <w:b/>
          <w:sz w:val="22"/>
          <w:szCs w:val="22"/>
        </w:rPr>
        <w:t>по доставке материальных ресурсов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widowControl/>
        <w:numPr>
          <w:ilvl w:val="0"/>
          <w:numId w:val="6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ConsPlusNormal1"/>
        <w:tabs>
          <w:tab w:val="clear" w:pos="709"/>
          <w:tab w:val="left" w:pos="1134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11.2.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cs="Times New Roman" w:ascii="Times New Roman" w:hAnsi="Times New Roman"/>
          <w:b/>
          <w:bCs/>
          <w:sz w:val="22"/>
          <w:szCs w:val="22"/>
        </w:rPr>
        <w:t>по доставке оборудования</w:t>
      </w:r>
      <w:r>
        <w:rPr>
          <w:rFonts w:cs="Times New Roman" w:ascii="Times New Roman" w:hAnsi="Times New Roman"/>
          <w:sz w:val="22"/>
          <w:szCs w:val="22"/>
        </w:rPr>
        <w:t>:</w:t>
      </w:r>
    </w:p>
    <w:p>
      <w:pPr>
        <w:pStyle w:val="ConsPlusNormal1"/>
        <w:widowControl/>
        <w:numPr>
          <w:ilvl w:val="0"/>
          <w:numId w:val="15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>
      <w:pPr>
        <w:pStyle w:val="ConsPlusNormal1"/>
        <w:widowControl/>
        <w:numPr>
          <w:ilvl w:val="0"/>
          <w:numId w:val="16"/>
        </w:numPr>
        <w:tabs>
          <w:tab w:val="clear" w:pos="709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numPr>
          <w:ilvl w:val="0"/>
          <w:numId w:val="6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 указанными выше способами), по решению заказчика.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12. 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• </w:t>
      </w:r>
      <w:r>
        <w:rPr>
          <w:rFonts w:cs="Times New Roman" w:ascii="Times New Roman" w:hAnsi="Times New Roman"/>
          <w:sz w:val="22"/>
          <w:szCs w:val="22"/>
        </w:rPr>
        <w:t>2% - для материальных ресурсов (кроме металлоконструкций);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• </w:t>
      </w:r>
      <w:r>
        <w:rPr>
          <w:rFonts w:cs="Times New Roman" w:ascii="Times New Roman" w:hAnsi="Times New Roman"/>
          <w:sz w:val="22"/>
          <w:szCs w:val="22"/>
        </w:rPr>
        <w:t>0,75% - для металлоконструкций;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• </w:t>
      </w: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Методикой ПЦ и учитываются в Главе 9 Сводного сметного расчета стоимости строительства (далее - ССРСС).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13. При формировании сметной стоимости с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14. 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15. 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указываются попозиционно.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16. Затраты на возведение временных зданий и сооружений учитывать в том случае, если они указаны в ПОС, ТТ.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-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17. Резерв средств на непредвиденные работы и затраты определять в ТТ и начислять в смете в процентах в размере, указанном в утвержденных ТТ. Порядок расчета за непредвиденные работы и затраты оговаривать в договоре подряда.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18. В ЛСР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19. В ЛСР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20. 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• </w:t>
      </w:r>
      <w:r>
        <w:rPr>
          <w:rFonts w:cs="Times New Roman" w:ascii="Times New Roman" w:hAnsi="Times New Roman"/>
          <w:sz w:val="22"/>
          <w:szCs w:val="22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№1.5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 и включаются в ССРСС.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21. Стоимость шеф - монтажных и шеф - наладочных работ включается в сметную стоимость оборудования и может определяться отдельными расчетами. Расчет стоимости шеф - монтажных работ выполняется по форме 3П с предоставлением подтверждающих документов по уровню заработной платы, удельному весу накладных расходов в себестоимости, уровню рентабельности (образец формы расчета представлен в Приложении № 2 к Требованиям 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перевооружению). Участник (подрядчик, контрагент) представляет смету на шеф-монтажные работы в соответствии с графиком выполнения работ.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22. 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 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i/>
          <w:color w:val="000000" w:themeColor="text1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23. 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b/>
          <w:i/>
          <w:i/>
          <w:color w:val="000000" w:themeColor="text1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24. </w:t>
      </w:r>
      <w:bookmarkStart w:id="2" w:name="_Ref19086149"/>
      <w:r>
        <w:rPr>
          <w:rFonts w:cs="Times New Roman" w:ascii="Times New Roman" w:hAnsi="Times New Roman"/>
          <w:sz w:val="22"/>
          <w:szCs w:val="22"/>
        </w:rPr>
        <w:t xml:space="preserve">В локальных сметных расчетах построчные и итоговые суммы </w:t>
      </w:r>
      <w:r>
        <w:rPr>
          <w:rFonts w:cs="Times New Roman" w:ascii="Times New Roman" w:hAnsi="Times New Roman"/>
          <w:b/>
          <w:sz w:val="22"/>
          <w:szCs w:val="22"/>
          <w:u w:val="single"/>
        </w:rPr>
        <w:t>округлять:</w:t>
      </w:r>
      <w:bookmarkEnd w:id="2"/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ресурсно-индексном и ресурсным методах, а также в сметных расчетах на отдельные виды затрат - </w:t>
      </w:r>
      <w:r>
        <w:rPr>
          <w:rFonts w:cs="Times New Roman" w:ascii="Times New Roman" w:hAnsi="Times New Roman"/>
          <w:b/>
          <w:sz w:val="22"/>
          <w:szCs w:val="22"/>
        </w:rPr>
        <w:t>в 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целых единиц</w:t>
      </w:r>
      <w:r>
        <w:rPr>
          <w:rFonts w:cs="Times New Roman" w:ascii="Times New Roman" w:hAnsi="Times New Roman"/>
          <w:sz w:val="22"/>
          <w:szCs w:val="22"/>
        </w:rPr>
        <w:t>;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>
        <w:rPr>
          <w:rFonts w:cs="Times New Roman" w:ascii="Times New Roman" w:hAnsi="Times New Roman"/>
          <w:b/>
          <w:sz w:val="22"/>
          <w:szCs w:val="22"/>
        </w:rPr>
        <w:t>рублях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до двух знаков</w:t>
      </w:r>
      <w:r>
        <w:rPr>
          <w:rFonts w:cs="Times New Roman" w:ascii="Times New Roman" w:hAnsi="Times New Roman"/>
          <w:sz w:val="22"/>
          <w:szCs w:val="22"/>
        </w:rPr>
        <w:t xml:space="preserve"> после запятой. Величину НДС не указывать.</w:t>
      </w:r>
    </w:p>
    <w:p>
      <w:pPr>
        <w:pStyle w:val="ConsPlusNormal1"/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25. Выходные формы сметных расчетов должны соответствовать Образцам по приложениям 1.5.</w:t>
      </w:r>
    </w:p>
    <w:p>
      <w:pPr>
        <w:pStyle w:val="ConsPlusNormal1"/>
        <w:tabs>
          <w:tab w:val="clear" w:pos="709"/>
          <w:tab w:val="left" w:pos="567" w:leader="none"/>
          <w:tab w:val="left" w:pos="851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26. В случае предоставления Заказчиком услуг, указанных в разделе Технических требований «Иные условия поставки товаров, выполнения работ, оказания услуг»: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>
      <w:pPr>
        <w:pStyle w:val="ListParagraph"/>
        <w:numPr>
          <w:ilvl w:val="0"/>
          <w:numId w:val="8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>
      <w:pPr>
        <w:pStyle w:val="ListParagraph"/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26.1.2. По предоставляемому сжатому воздуху:</w:t>
      </w:r>
    </w:p>
    <w:p>
      <w:pPr>
        <w:pStyle w:val="ListParagraph"/>
        <w:numPr>
          <w:ilvl w:val="0"/>
          <w:numId w:val="9"/>
        </w:numPr>
        <w:tabs>
          <w:tab w:val="clear" w:pos="709"/>
          <w:tab w:val="left" w:pos="567" w:leader="none"/>
          <w:tab w:val="left" w:pos="993" w:leader="none"/>
          <w:tab w:val="left" w:pos="1701" w:leader="none"/>
        </w:tabs>
        <w:spacing w:lineRule="auto" w:line="240" w:before="40" w:after="40"/>
        <w:ind w:left="0" w:firstLine="709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>
      <w:pPr>
        <w:pStyle w:val="ConsPlusNormal1"/>
        <w:widowControl/>
        <w:tabs>
          <w:tab w:val="clear" w:pos="709"/>
          <w:tab w:val="left" w:pos="567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26.1.3. Учтенные в составе накладных расходов:</w:t>
      </w:r>
    </w:p>
    <w:p>
      <w:pPr>
        <w:pStyle w:val="ConsPlusNormal1"/>
        <w:numPr>
          <w:ilvl w:val="0"/>
          <w:numId w:val="10"/>
        </w:numPr>
        <w:tabs>
          <w:tab w:val="clear" w:pos="709"/>
          <w:tab w:val="left" w:pos="968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расходы по обеспечению санитарно-гигиенических и бытовых условий (удельный вес статьи затрат в накладных расходах - 3,02%);</w:t>
      </w:r>
    </w:p>
    <w:p>
      <w:pPr>
        <w:pStyle w:val="ConsPlusNormal1"/>
        <w:numPr>
          <w:ilvl w:val="0"/>
          <w:numId w:val="10"/>
        </w:numPr>
        <w:tabs>
          <w:tab w:val="clear" w:pos="709"/>
          <w:tab w:val="left" w:pos="968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содержание пожарной и сторожевой охраны (удельный вес статьи затрат в накладных расходах -2,01%);</w:t>
      </w:r>
    </w:p>
    <w:p>
      <w:pPr>
        <w:pStyle w:val="ConsPlusNormal1"/>
        <w:numPr>
          <w:ilvl w:val="0"/>
          <w:numId w:val="10"/>
        </w:numPr>
        <w:tabs>
          <w:tab w:val="clear" w:pos="709"/>
          <w:tab w:val="left" w:pos="968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расходы по благоустройству и содержанию строительных площадок (удельный вес статьи затрат в накладных расходах -1,61%) исключаются путем применения понижающего коэффициента к нормативам накладных расходов на строительные работы в размере 0,93</w:t>
      </w:r>
      <w:r>
        <w:rPr>
          <w:rStyle w:val="FootnoteReference"/>
          <w:rFonts w:cs="Times New Roman" w:ascii="Times New Roman" w:hAnsi="Times New Roman"/>
          <w:sz w:val="22"/>
          <w:szCs w:val="22"/>
        </w:rPr>
        <w:footnoteReference w:id="2"/>
      </w:r>
      <w:r>
        <w:rPr>
          <w:rFonts w:cs="Times New Roman" w:ascii="Times New Roman" w:hAnsi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>
      <w:pPr>
        <w:pStyle w:val="ConsPlusNormal1"/>
        <w:tabs>
          <w:tab w:val="clear" w:pos="709"/>
          <w:tab w:val="left" w:pos="968" w:leader="none"/>
        </w:tabs>
        <w:spacing w:before="40" w:after="40"/>
        <w:ind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27. 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28. Сметная документация должна быть представлена в двух вариантах: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на бумажном носителе (количество указано в конкурсной документации);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форматах «</w:t>
      </w:r>
      <w:r>
        <w:rPr>
          <w:rFonts w:cs="Times New Roman" w:ascii="Times New Roman" w:hAnsi="Times New Roman"/>
          <w:sz w:val="22"/>
          <w:szCs w:val="22"/>
          <w:lang w:val="en-US"/>
        </w:rPr>
        <w:t>xml</w:t>
      </w:r>
      <w:r>
        <w:rPr>
          <w:rFonts w:cs="Times New Roman" w:ascii="Times New Roman" w:hAnsi="Times New Roman"/>
          <w:sz w:val="22"/>
          <w:szCs w:val="22"/>
        </w:rPr>
        <w:t>»,</w:t>
      </w:r>
      <w:r>
        <w:rPr>
          <w:rFonts w:cs="Times New Roman" w:ascii="Times New Roman" w:hAnsi="Times New Roman"/>
          <w:color w:val="2E74B5"/>
          <w:sz w:val="22"/>
          <w:szCs w:val="22"/>
        </w:rPr>
        <w:t xml:space="preserve"> </w:t>
      </w:r>
      <w:r>
        <w:rPr>
          <w:rFonts w:cs="Times New Roman" w:ascii="Times New Roman" w:hAnsi="Times New Roman"/>
          <w:sz w:val="22"/>
          <w:szCs w:val="22"/>
        </w:rPr>
        <w:t>ПК «Гранд-Смета», «Excel», «</w:t>
      </w:r>
      <w:r>
        <w:rPr>
          <w:rFonts w:cs="Times New Roman" w:ascii="Times New Roman" w:hAnsi="Times New Roman"/>
          <w:sz w:val="22"/>
          <w:szCs w:val="22"/>
          <w:lang w:val="en-US"/>
        </w:rPr>
        <w:t>pdf</w:t>
      </w:r>
      <w:r>
        <w:rPr>
          <w:rFonts w:cs="Times New Roman" w:ascii="Times New Roman" w:hAnsi="Times New Roman"/>
          <w:sz w:val="22"/>
          <w:szCs w:val="22"/>
        </w:rPr>
        <w:t>»), полностью соответствующему бумажному варианту;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68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сметная документация в формате «Exce</w:t>
      </w:r>
      <w:r>
        <w:rPr>
          <w:rFonts w:cs="Times New Roman" w:ascii="Times New Roman" w:hAnsi="Times New Roman"/>
          <w:sz w:val="22"/>
          <w:szCs w:val="22"/>
          <w:lang w:val="en-US"/>
        </w:rPr>
        <w:t>l</w:t>
      </w:r>
      <w:r>
        <w:rPr>
          <w:rFonts w:cs="Times New Roman" w:ascii="Times New Roman" w:hAnsi="Times New Roman"/>
          <w:sz w:val="22"/>
          <w:szCs w:val="22"/>
        </w:rPr>
        <w:t>» должна быть представлена в одном файле с внесением ССРСС, ЛСР и других расчетов на отдельные листы (вкладки) документа.</w:t>
      </w:r>
    </w:p>
    <w:p>
      <w:pPr>
        <w:pStyle w:val="ConsPlusNormal1"/>
        <w:widowControl/>
        <w:numPr>
          <w:ilvl w:val="0"/>
          <w:numId w:val="11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left="0" w:firstLine="68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в формате ПК «Гранд-смета» выходная форма для печати указана ниже: </w:t>
      </w:r>
    </w:p>
    <w:p>
      <w:pPr>
        <w:pStyle w:val="ConsPlusNormal1"/>
        <w:widowControl/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737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5245" cy="368681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0" t="0" r="10199" b="8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5245" cy="3686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left="5811" w:hanging="0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/>
      </w:r>
    </w:p>
    <w:sectPr>
      <w:footerReference w:type="default" r:id="rId3"/>
      <w:footnotePr>
        <w:numFmt w:val="decimal"/>
        <w:numRestart w:val="eachPage"/>
      </w:footnotePr>
      <w:type w:val="nextPage"/>
      <w:pgSz w:w="11906" w:h="16838"/>
      <w:pgMar w:left="1276" w:right="707" w:gutter="0" w:header="0" w:top="851" w:footer="709" w:bottom="766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Wingdings">
    <w:charset w:val="02"/>
    <w:family w:val="auto"/>
    <w:pitch w:val="default"/>
  </w:font>
  <w:font w:name="Courier New">
    <w:charset w:val="01"/>
    <w:family w:val="modern"/>
    <w:pitch w:val="fixed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2687828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3"/>
        </w:rPr>
        <w:footnoteRef/>
      </w:r>
      <w:r>
        <w:rP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sz w:val="22"/>
        <w:i w:val="false"/>
        <w:b w:val="false"/>
        <w:szCs w:val="22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34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4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540" w:hanging="360"/>
      </w:pPr>
      <w:rPr>
        <w:sz w:val="20"/>
        <w:b w:val="false"/>
        <w:rFonts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6"/>
  </w:num>
  <w:num w:numId="1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footnotePr>
    <w:numFmt w:val="decimal"/>
    <w:numRestart w:val="eachPage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1078e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2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1" w:customStyle="1">
    <w:name w:val="Гиперссылка1"/>
    <w:uiPriority w:val="99"/>
    <w:qFormat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uiPriority w:val="99"/>
    <w:unhideWhenUsed/>
    <w:qFormat/>
    <w:rsid w:val="0080406e"/>
    <w:rPr>
      <w:vertAlign w:val="superscript"/>
    </w:rPr>
  </w:style>
  <w:style w:type="character" w:styleId="11" w:customStyle="1">
    <w:name w:val="Подпункт Знак1"/>
    <w:link w:val="Style25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2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7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3" w:customStyle="1">
    <w:name w:val="Просмотренная гиперссылка1"/>
    <w:uiPriority w:val="99"/>
    <w:semiHidden/>
    <w:unhideWhenUsed/>
    <w:qFormat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9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4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7" w:customStyle="1">
    <w:name w:val="Маркеры"/>
    <w:qFormat/>
    <w:rPr>
      <w:rFonts w:ascii="OpenSymbol" w:hAnsi="OpenSymbol" w:eastAsia="OpenSymbol" w:cs="OpenSymbol"/>
    </w:rPr>
  </w:style>
  <w:style w:type="character" w:styleId="Style18" w:customStyle="1">
    <w:name w:val="Символ нумерации"/>
    <w:qFormat/>
    <w:rPr/>
  </w:style>
  <w:style w:type="character" w:styleId="Hyperlink">
    <w:name w:val="Hyperlink"/>
    <w:rPr>
      <w:color w:val="000080"/>
      <w:u w:val="single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Indexheading11" w:customStyle="1">
    <w:name w:val="index heading1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1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2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left="57" w:right="57" w:hanging="0"/>
    </w:pPr>
    <w:rPr>
      <w:rFonts w:ascii="Times New Roman" w:hAnsi="Times New Roman"/>
      <w:sz w:val="18"/>
      <w:szCs w:val="18"/>
    </w:rPr>
  </w:style>
  <w:style w:type="paragraph" w:styleId="Style23" w:customStyle="1">
    <w:name w:val="Текст таблицы"/>
    <w:basedOn w:val="Normal"/>
    <w:qFormat/>
    <w:rsid w:val="008b7e3f"/>
    <w:pPr>
      <w:spacing w:lineRule="auto" w:line="240" w:before="40" w:after="40"/>
      <w:ind w:left="57" w:right="57" w:hanging="0"/>
    </w:pPr>
    <w:rPr>
      <w:rFonts w:ascii="Times New Roman" w:hAnsi="Times New Roman"/>
      <w:sz w:val="24"/>
      <w:szCs w:val="24"/>
    </w:rPr>
  </w:style>
  <w:style w:type="paragraph" w:styleId="Style24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5" w:customStyle="1">
    <w:name w:val="Подпункт"/>
    <w:basedOn w:val="Style24"/>
    <w:link w:val="11"/>
    <w:qFormat/>
    <w:rsid w:val="00b5006b"/>
    <w:pPr>
      <w:tabs>
        <w:tab w:val="clear" w:pos="1134"/>
        <w:tab w:val="left" w:pos="851" w:leader="none"/>
      </w:tabs>
    </w:pPr>
    <w:rPr/>
  </w:style>
  <w:style w:type="paragraph" w:styleId="Style26" w:customStyle="1">
    <w:name w:val="Подподпункт"/>
    <w:basedOn w:val="Style25"/>
    <w:qFormat/>
    <w:rsid w:val="00b5006b"/>
    <w:p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7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5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left="1134" w:hanging="1133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left="220" w:hanging="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8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6" w:customStyle="1">
    <w:name w:val="Абзац списка1"/>
    <w:basedOn w:val="Normal"/>
    <w:qFormat/>
    <w:rsid w:val="00192f26"/>
    <w:pPr>
      <w:spacing w:before="0" w:after="200"/>
      <w:ind w:left="720" w:hanging="0"/>
      <w:contextualSpacing/>
    </w:pPr>
    <w:rPr/>
  </w:style>
  <w:style w:type="paragraph" w:styleId="Style29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17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spacing w:lineRule="auto" w:line="240" w:before="0" w:after="0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left="936" w:right="936" w:hanging="0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9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31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311" w:customStyle="1">
    <w:name w:val="Список 3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2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left="720" w:hanging="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left="283" w:hanging="0"/>
    </w:pPr>
    <w:rPr>
      <w:rFonts w:ascii="Times New Roman" w:hAnsi="Times New Roman"/>
      <w:sz w:val="28"/>
      <w:szCs w:val="28"/>
    </w:rPr>
  </w:style>
  <w:style w:type="paragraph" w:styleId="Style33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left="440" w:hanging="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4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FORMATTEXT" w:customStyle="1">
    <w:name w:val=".FORMATTEXT"/>
    <w:uiPriority w:val="99"/>
    <w:qFormat/>
    <w:rsid w:val="00f7283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" w:cs="Arial" w:eastAsiaTheme="minorEastAsia"/>
      <w:color w:val="auto"/>
      <w:kern w:val="0"/>
      <w:sz w:val="20"/>
      <w:szCs w:val="20"/>
      <w:lang w:val="ru-RU" w:eastAsia="ru-RU" w:bidi="ar-SA"/>
    </w:rPr>
  </w:style>
  <w:style w:type="paragraph" w:styleId="HEADERTEXT" w:customStyle="1">
    <w:name w:val=".HEADERTEXT"/>
    <w:uiPriority w:val="99"/>
    <w:qFormat/>
    <w:rsid w:val="00f72831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" w:cs="Arial" w:eastAsiaTheme="minorEastAsia"/>
      <w:color w:val="2B4279"/>
      <w:kern w:val="0"/>
      <w:sz w:val="20"/>
      <w:szCs w:val="20"/>
      <w:lang w:val="ru-RU" w:eastAsia="ru-RU" w:bidi="ar-SA"/>
    </w:rPr>
  </w:style>
  <w:style w:type="paragraph" w:styleId="Style3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5" w:customStyle="1">
    <w:name w:val="Заголовок таблицы"/>
    <w:basedOn w:val="Style34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2114061491" w:customStyle="1">
    <w:name w:val="2114061491"/>
    <w:qFormat/>
  </w:style>
  <w:style w:type="numbering" w:styleId="20025917511" w:customStyle="1">
    <w:name w:val="20025917511"/>
    <w:qFormat/>
  </w:style>
  <w:style w:type="numbering" w:styleId="21117160651" w:customStyle="1">
    <w:name w:val="21117160651"/>
    <w:qFormat/>
  </w:style>
  <w:style w:type="numbering" w:styleId="42794916511" w:customStyle="1">
    <w:name w:val="42794916511"/>
    <w:qFormat/>
  </w:style>
  <w:style w:type="numbering" w:styleId="3945339401" w:customStyle="1">
    <w:name w:val="3945339401"/>
    <w:qFormat/>
  </w:style>
  <w:style w:type="numbering" w:styleId="2290724881" w:customStyle="1">
    <w:name w:val="2290724881"/>
    <w:qFormat/>
  </w:style>
  <w:style w:type="numbering" w:styleId="40304807001" w:customStyle="1">
    <w:name w:val="40304807001"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5">
    <w:name w:val="Table Grid"/>
    <w:basedOn w:val="a3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83F48-81AC-44BC-8C72-C92D5CAF2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Application>AlterOffice/3.3.0.4$Linux_X86_64 LibreOffice_project/fa736b558560ebea8f92088bfd7720f4b3918f3f</Application>
  <AppVersion>15.0000</AppVersion>
  <Pages>4</Pages>
  <Words>1735</Words>
  <Characters>11994</Characters>
  <CharactersWithSpaces>13672</CharactersWithSpaces>
  <Paragraphs>71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2025-03-03T04:31:00Z</dcterms:created>
  <dc:creator>Торопов Денис Владимирович</dc:creator>
  <dc:description/>
  <dc:language>ru-RU</dc:language>
  <cp:lastModifiedBy>temnyuk_av</cp:lastModifiedBy>
  <cp:lastPrinted>2021-07-09T09:18:00Z</cp:lastPrinted>
  <dcterms:modified xsi:type="dcterms:W3CDTF">2026-06-05T12:12:23Z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